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ce57040b8046e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26008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DJEČJI VRTIĆ DUBRAVA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268.096,66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340.860,77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266.163,03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352.960,10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12.099,33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1.837,20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3.174,05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172,8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1.837,20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3.174,05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172,8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15.273,38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Y005 – Manjak prihoda i primitaka 15.273,38 EUR čini razliku između ukupnih prihoda X678 340.860,77 EUR i ukupnih rashoda Y345 356.134,15 EUR. Navedeni manjak razdoblja je iz više razloga: radionice engleskog jezika koje su bile dio pilot projekta Ministarstva demografije i useljeništva za koje je Općina Dubrava ostvarila sredstva za financiranje u 2024. godini provodile su se u razdoblju od 11/24 do 05/25, a sredstva su uplaćena u 2024 godini za cijelo vrijeme. Shodno tome u 2024. godini iskazan je višak prihoda, a sada u izvještajnom razdoblju su realizirani troškovi za 5 mjeseci. Sljedeći razlog manjka prihoda i rashoda u izvještajnom razdoblju je izvanredna ostavka ravnateljice i u prijelaznom razdoblju tijekom mjeseca rujna, zaduženja za novoupisanu djecu su išla krajem rujna te roditelji nisu bili u mogućnosti uobičajenom dinamikom izvršavati plaćanje svojih obveza, a prihodi se, prema proračunskom računovodstvu, priznaju po novčanom načelu.</w:t>
      </w:r>
    </w:p>
    <w:p>
      <w:r>
        <w:br/>
      </w:r>
    </w:p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c8ad3f0e72483f" /></Relationships>
</file>